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90A" w:rsidP="00A4610A" w:rsidRDefault="00D0090A" w14:paraId="017E24E3" w14:textId="77777777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Budget Forum 8</w:t>
      </w:r>
      <w:r w:rsidRPr="00D0090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2022</w:t>
      </w:r>
    </w:p>
    <w:p w:rsidRPr="00D347A2" w:rsidR="00572A98" w:rsidP="00A4610A" w:rsidRDefault="009B7F0D" w14:paraId="5A3F3181" w14:textId="4D1032EA">
      <w:pPr>
        <w:spacing w:line="276" w:lineRule="auto"/>
        <w:jc w:val="both"/>
        <w:rPr>
          <w:b/>
          <w:bCs/>
          <w:u w:val="single"/>
        </w:rPr>
      </w:pPr>
      <w:r w:rsidRPr="00D347A2">
        <w:rPr>
          <w:b/>
          <w:bCs/>
          <w:u w:val="single"/>
        </w:rPr>
        <w:t xml:space="preserve">School Balances as </w:t>
      </w:r>
      <w:proofErr w:type="gramStart"/>
      <w:r w:rsidRPr="00D347A2">
        <w:rPr>
          <w:b/>
          <w:bCs/>
          <w:u w:val="single"/>
        </w:rPr>
        <w:t>at</w:t>
      </w:r>
      <w:proofErr w:type="gramEnd"/>
      <w:r w:rsidRPr="00D347A2">
        <w:rPr>
          <w:b/>
          <w:bCs/>
          <w:u w:val="single"/>
        </w:rPr>
        <w:t xml:space="preserve"> 31</w:t>
      </w:r>
      <w:r w:rsidRPr="00D347A2">
        <w:rPr>
          <w:b/>
          <w:bCs/>
          <w:u w:val="single"/>
          <w:vertAlign w:val="superscript"/>
        </w:rPr>
        <w:t>st</w:t>
      </w:r>
      <w:r w:rsidRPr="00D347A2">
        <w:rPr>
          <w:b/>
          <w:bCs/>
          <w:u w:val="single"/>
        </w:rPr>
        <w:t xml:space="preserve"> March 2022.</w:t>
      </w:r>
    </w:p>
    <w:p w:rsidR="00610960" w:rsidP="00A4610A" w:rsidRDefault="00610960" w14:paraId="0A2BD1F5" w14:textId="2E2C007E">
      <w:pPr>
        <w:spacing w:line="276" w:lineRule="auto"/>
        <w:jc w:val="both"/>
      </w:pPr>
      <w:r>
        <w:t>The Councils Fair Funding Scheme for Schools, the Schools Standards and Framework Act 1998, and the School Funding Wales Regulations 2010 specifies that any variances within the delegated school</w:t>
      </w:r>
      <w:r w:rsidR="00D347A2">
        <w:t>’</w:t>
      </w:r>
      <w:r>
        <w:t xml:space="preserve">s budget </w:t>
      </w:r>
      <w:r w:rsidR="00D347A2">
        <w:t>can</w:t>
      </w:r>
      <w:r>
        <w:t xml:space="preserve"> be carried forward to the next financial year</w:t>
      </w:r>
      <w:r w:rsidR="002C4D58">
        <w:t xml:space="preserve"> through school </w:t>
      </w:r>
      <w:r w:rsidR="00015E02">
        <w:t>balances.</w:t>
      </w:r>
    </w:p>
    <w:p w:rsidR="002C4D58" w:rsidP="00A4610A" w:rsidRDefault="00015E02" w14:paraId="325DAE29" w14:textId="75789C11">
      <w:pPr>
        <w:spacing w:line="276" w:lineRule="auto"/>
        <w:jc w:val="both"/>
      </w:pPr>
      <w:r>
        <w:t>Total school balances</w:t>
      </w:r>
      <w:r w:rsidR="00D347A2">
        <w:t xml:space="preserve"> over the last </w:t>
      </w:r>
      <w:r w:rsidR="002C4D58">
        <w:t>eight</w:t>
      </w:r>
      <w:r w:rsidR="00D347A2">
        <w:t xml:space="preserve"> years are identified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</w:tblGrid>
      <w:tr w:rsidR="002C4D58" w:rsidTr="002C4D58" w14:paraId="429F03E4" w14:textId="77777777">
        <w:tc>
          <w:tcPr>
            <w:tcW w:w="1555" w:type="dxa"/>
          </w:tcPr>
          <w:p w:rsidR="002C4D58" w:rsidP="00D347A2" w:rsidRDefault="002C4D58" w14:paraId="43BC311F" w14:textId="4CE059B0">
            <w:r>
              <w:t>Year ending</w:t>
            </w:r>
          </w:p>
        </w:tc>
        <w:tc>
          <w:tcPr>
            <w:tcW w:w="1984" w:type="dxa"/>
          </w:tcPr>
          <w:p w:rsidR="002C4D58" w:rsidP="00D347A2" w:rsidRDefault="002C4D58" w14:paraId="25B55C23" w14:textId="7B3EDB47">
            <w:r>
              <w:t>School Reserves</w:t>
            </w:r>
          </w:p>
        </w:tc>
        <w:tc>
          <w:tcPr>
            <w:tcW w:w="2268" w:type="dxa"/>
          </w:tcPr>
          <w:p w:rsidR="002C4D58" w:rsidP="00D347A2" w:rsidRDefault="002C4D58" w14:paraId="399C7771" w14:textId="12AB2635">
            <w:r>
              <w:t>Movement on Previous Financial year</w:t>
            </w:r>
          </w:p>
        </w:tc>
      </w:tr>
      <w:tr w:rsidR="002C4D58" w:rsidTr="002C4D58" w14:paraId="4D3737D7" w14:textId="77777777">
        <w:tc>
          <w:tcPr>
            <w:tcW w:w="1555" w:type="dxa"/>
          </w:tcPr>
          <w:p w:rsidR="002C4D58" w:rsidP="00D347A2" w:rsidRDefault="002C4D58" w14:paraId="6965137F" w14:textId="214E07E8">
            <w:r>
              <w:t>31.03.2015</w:t>
            </w:r>
          </w:p>
        </w:tc>
        <w:tc>
          <w:tcPr>
            <w:tcW w:w="1984" w:type="dxa"/>
          </w:tcPr>
          <w:p w:rsidR="002C4D58" w:rsidP="002C4D58" w:rsidRDefault="002C4D58" w14:paraId="65A9EEE3" w14:textId="4AD6D8AB">
            <w:pPr>
              <w:jc w:val="right"/>
            </w:pPr>
            <w:r>
              <w:t>£2,708,131</w:t>
            </w:r>
          </w:p>
        </w:tc>
        <w:tc>
          <w:tcPr>
            <w:tcW w:w="2268" w:type="dxa"/>
          </w:tcPr>
          <w:p w:rsidR="002C4D58" w:rsidP="002C4D58" w:rsidRDefault="002C4D58" w14:paraId="433E6F0E" w14:textId="77777777">
            <w:pPr>
              <w:jc w:val="right"/>
            </w:pPr>
          </w:p>
        </w:tc>
      </w:tr>
      <w:tr w:rsidR="002C4D58" w:rsidTr="002C4D58" w14:paraId="759896D0" w14:textId="77777777">
        <w:tc>
          <w:tcPr>
            <w:tcW w:w="1555" w:type="dxa"/>
          </w:tcPr>
          <w:p w:rsidR="002C4D58" w:rsidP="00D347A2" w:rsidRDefault="002C4D58" w14:paraId="5A65FF15" w14:textId="0AC8053D">
            <w:r>
              <w:t>31.03.2016</w:t>
            </w:r>
          </w:p>
        </w:tc>
        <w:tc>
          <w:tcPr>
            <w:tcW w:w="1984" w:type="dxa"/>
          </w:tcPr>
          <w:p w:rsidR="002C4D58" w:rsidP="002C4D58" w:rsidRDefault="002C4D58" w14:paraId="15F7A984" w14:textId="770EECE8">
            <w:pPr>
              <w:jc w:val="right"/>
            </w:pPr>
            <w:r>
              <w:t>£2,946,348</w:t>
            </w:r>
          </w:p>
        </w:tc>
        <w:tc>
          <w:tcPr>
            <w:tcW w:w="2268" w:type="dxa"/>
          </w:tcPr>
          <w:p w:rsidR="002C4D58" w:rsidP="002C4D58" w:rsidRDefault="002C4D58" w14:paraId="592EDB1C" w14:textId="528C50CE">
            <w:pPr>
              <w:jc w:val="right"/>
            </w:pPr>
            <w:r>
              <w:t>+£238,217</w:t>
            </w:r>
          </w:p>
        </w:tc>
      </w:tr>
      <w:tr w:rsidR="002C4D58" w:rsidTr="002C4D58" w14:paraId="1B89A836" w14:textId="77777777">
        <w:tc>
          <w:tcPr>
            <w:tcW w:w="1555" w:type="dxa"/>
          </w:tcPr>
          <w:p w:rsidR="002C4D58" w:rsidP="00D347A2" w:rsidRDefault="002C4D58" w14:paraId="79DE9B00" w14:textId="22FBAE13">
            <w:r>
              <w:t>31.03.2017</w:t>
            </w:r>
          </w:p>
        </w:tc>
        <w:tc>
          <w:tcPr>
            <w:tcW w:w="1984" w:type="dxa"/>
          </w:tcPr>
          <w:p w:rsidR="002C4D58" w:rsidP="002C4D58" w:rsidRDefault="002C4D58" w14:paraId="6BED4F80" w14:textId="1B785448">
            <w:pPr>
              <w:jc w:val="right"/>
            </w:pPr>
            <w:r>
              <w:t>£2,321,817</w:t>
            </w:r>
          </w:p>
        </w:tc>
        <w:tc>
          <w:tcPr>
            <w:tcW w:w="2268" w:type="dxa"/>
          </w:tcPr>
          <w:p w:rsidR="002C4D58" w:rsidP="002C4D58" w:rsidRDefault="002C4D58" w14:paraId="0A0FCF20" w14:textId="56977FC9">
            <w:pPr>
              <w:jc w:val="right"/>
            </w:pPr>
            <w:r>
              <w:t>-£624,531</w:t>
            </w:r>
          </w:p>
        </w:tc>
      </w:tr>
      <w:tr w:rsidR="002C4D58" w:rsidTr="002C4D58" w14:paraId="57B81F37" w14:textId="77777777">
        <w:tc>
          <w:tcPr>
            <w:tcW w:w="1555" w:type="dxa"/>
          </w:tcPr>
          <w:p w:rsidR="002C4D58" w:rsidP="00D347A2" w:rsidRDefault="002C4D58" w14:paraId="0B06F231" w14:textId="6CC0E779">
            <w:r>
              <w:t>31.03.2018</w:t>
            </w:r>
          </w:p>
        </w:tc>
        <w:tc>
          <w:tcPr>
            <w:tcW w:w="1984" w:type="dxa"/>
          </w:tcPr>
          <w:p w:rsidR="002C4D58" w:rsidP="002C4D58" w:rsidRDefault="002C4D58" w14:paraId="2485FBB9" w14:textId="2F5CF2D7">
            <w:pPr>
              <w:jc w:val="right"/>
            </w:pPr>
            <w:r>
              <w:t>£2,622,733</w:t>
            </w:r>
          </w:p>
        </w:tc>
        <w:tc>
          <w:tcPr>
            <w:tcW w:w="2268" w:type="dxa"/>
          </w:tcPr>
          <w:p w:rsidR="002C4D58" w:rsidP="002C4D58" w:rsidRDefault="002C4D58" w14:paraId="4316AB58" w14:textId="22C858E5">
            <w:pPr>
              <w:jc w:val="right"/>
            </w:pPr>
            <w:r>
              <w:t>+£300,916</w:t>
            </w:r>
          </w:p>
        </w:tc>
      </w:tr>
      <w:tr w:rsidR="002C4D58" w:rsidTr="002C4D58" w14:paraId="6F0D3976" w14:textId="77777777">
        <w:tc>
          <w:tcPr>
            <w:tcW w:w="1555" w:type="dxa"/>
          </w:tcPr>
          <w:p w:rsidR="002C4D58" w:rsidP="00D347A2" w:rsidRDefault="002C4D58" w14:paraId="4D926F6D" w14:textId="20E44B4C">
            <w:r>
              <w:t>31.03.2019</w:t>
            </w:r>
          </w:p>
        </w:tc>
        <w:tc>
          <w:tcPr>
            <w:tcW w:w="1984" w:type="dxa"/>
          </w:tcPr>
          <w:p w:rsidR="002C4D58" w:rsidP="002C4D58" w:rsidRDefault="002C4D58" w14:paraId="05C97866" w14:textId="5B8CADAD">
            <w:pPr>
              <w:jc w:val="right"/>
            </w:pPr>
            <w:r>
              <w:t>£2,679,902</w:t>
            </w:r>
          </w:p>
        </w:tc>
        <w:tc>
          <w:tcPr>
            <w:tcW w:w="2268" w:type="dxa"/>
          </w:tcPr>
          <w:p w:rsidR="002C4D58" w:rsidP="002C4D58" w:rsidRDefault="002C4D58" w14:paraId="1D1CA5B1" w14:textId="0BEAC32A">
            <w:pPr>
              <w:jc w:val="right"/>
            </w:pPr>
            <w:r>
              <w:t>+£57,169</w:t>
            </w:r>
          </w:p>
        </w:tc>
      </w:tr>
      <w:tr w:rsidR="002C4D58" w:rsidTr="002C4D58" w14:paraId="6AF1FF4B" w14:textId="77777777">
        <w:tc>
          <w:tcPr>
            <w:tcW w:w="1555" w:type="dxa"/>
          </w:tcPr>
          <w:p w:rsidR="002C4D58" w:rsidP="00D347A2" w:rsidRDefault="002C4D58" w14:paraId="26F05215" w14:textId="28A975D6">
            <w:r>
              <w:t>31.03.2020</w:t>
            </w:r>
          </w:p>
        </w:tc>
        <w:tc>
          <w:tcPr>
            <w:tcW w:w="1984" w:type="dxa"/>
          </w:tcPr>
          <w:p w:rsidR="002C4D58" w:rsidP="002C4D58" w:rsidRDefault="002C4D58" w14:paraId="6C89B2C3" w14:textId="5DE1E6DA">
            <w:pPr>
              <w:jc w:val="right"/>
            </w:pPr>
            <w:r>
              <w:t>£839,050</w:t>
            </w:r>
          </w:p>
        </w:tc>
        <w:tc>
          <w:tcPr>
            <w:tcW w:w="2268" w:type="dxa"/>
          </w:tcPr>
          <w:p w:rsidRPr="00015E02" w:rsidR="002C4D58" w:rsidP="002C4D58" w:rsidRDefault="002C4D58" w14:paraId="799BD973" w14:textId="6299DC48">
            <w:pPr>
              <w:jc w:val="right"/>
              <w:rPr>
                <w:b/>
                <w:bCs/>
              </w:rPr>
            </w:pPr>
            <w:r w:rsidRPr="00015E02">
              <w:rPr>
                <w:b/>
                <w:bCs/>
                <w:color w:val="FF0000"/>
              </w:rPr>
              <w:t>-£1,840,852</w:t>
            </w:r>
          </w:p>
        </w:tc>
      </w:tr>
      <w:tr w:rsidR="002C4D58" w:rsidTr="002C4D58" w14:paraId="4EF557C7" w14:textId="77777777">
        <w:tc>
          <w:tcPr>
            <w:tcW w:w="1555" w:type="dxa"/>
          </w:tcPr>
          <w:p w:rsidR="002C4D58" w:rsidP="00D347A2" w:rsidRDefault="002C4D58" w14:paraId="60DBDD73" w14:textId="69125ABC">
            <w:r>
              <w:t>31.03.2021</w:t>
            </w:r>
          </w:p>
        </w:tc>
        <w:tc>
          <w:tcPr>
            <w:tcW w:w="1984" w:type="dxa"/>
          </w:tcPr>
          <w:p w:rsidR="002C4D58" w:rsidP="002C4D58" w:rsidRDefault="002C4D58" w14:paraId="6DCB72B2" w14:textId="78C908B5">
            <w:pPr>
              <w:jc w:val="right"/>
            </w:pPr>
            <w:r>
              <w:t>£6,311,159</w:t>
            </w:r>
          </w:p>
        </w:tc>
        <w:tc>
          <w:tcPr>
            <w:tcW w:w="2268" w:type="dxa"/>
          </w:tcPr>
          <w:p w:rsidRPr="002C4D58" w:rsidR="002C4D58" w:rsidP="002C4D58" w:rsidRDefault="002C4D58" w14:paraId="30FC026A" w14:textId="1D5A7154">
            <w:pPr>
              <w:jc w:val="right"/>
              <w:rPr>
                <w:highlight w:val="yellow"/>
              </w:rPr>
            </w:pPr>
            <w:r w:rsidRPr="002C4D58">
              <w:rPr>
                <w:highlight w:val="yellow"/>
              </w:rPr>
              <w:t>+£5,472,109</w:t>
            </w:r>
          </w:p>
        </w:tc>
      </w:tr>
      <w:tr w:rsidR="002C4D58" w:rsidTr="002C4D58" w14:paraId="6A5C046A" w14:textId="77777777">
        <w:tc>
          <w:tcPr>
            <w:tcW w:w="1555" w:type="dxa"/>
          </w:tcPr>
          <w:p w:rsidR="002C4D58" w:rsidP="00D347A2" w:rsidRDefault="002C4D58" w14:paraId="69624C9D" w14:textId="2C388046">
            <w:r>
              <w:t>31.03.2022</w:t>
            </w:r>
          </w:p>
        </w:tc>
        <w:tc>
          <w:tcPr>
            <w:tcW w:w="1984" w:type="dxa"/>
          </w:tcPr>
          <w:p w:rsidR="002C4D58" w:rsidP="002C4D58" w:rsidRDefault="002C4D58" w14:paraId="7B2220D6" w14:textId="543F86C1">
            <w:pPr>
              <w:jc w:val="right"/>
            </w:pPr>
            <w:r>
              <w:t>£12,771,230</w:t>
            </w:r>
          </w:p>
        </w:tc>
        <w:tc>
          <w:tcPr>
            <w:tcW w:w="2268" w:type="dxa"/>
          </w:tcPr>
          <w:p w:rsidRPr="002C4D58" w:rsidR="002C4D58" w:rsidP="002C4D58" w:rsidRDefault="002C4D58" w14:paraId="6752B0F8" w14:textId="352D772D">
            <w:pPr>
              <w:jc w:val="right"/>
              <w:rPr>
                <w:highlight w:val="yellow"/>
              </w:rPr>
            </w:pPr>
            <w:r w:rsidRPr="002C4D58">
              <w:rPr>
                <w:highlight w:val="yellow"/>
              </w:rPr>
              <w:t>+£6,460,071</w:t>
            </w:r>
          </w:p>
        </w:tc>
      </w:tr>
      <w:tr w:rsidR="002C4D58" w:rsidTr="002C4D58" w14:paraId="0424B300" w14:textId="77777777">
        <w:tc>
          <w:tcPr>
            <w:tcW w:w="1555" w:type="dxa"/>
          </w:tcPr>
          <w:p w:rsidR="002C4D58" w:rsidP="00D347A2" w:rsidRDefault="002C4D58" w14:paraId="67224D0B" w14:textId="77777777"/>
        </w:tc>
        <w:tc>
          <w:tcPr>
            <w:tcW w:w="1984" w:type="dxa"/>
          </w:tcPr>
          <w:p w:rsidR="002C4D58" w:rsidP="00D347A2" w:rsidRDefault="002C4D58" w14:paraId="29F28679" w14:textId="77777777"/>
        </w:tc>
        <w:tc>
          <w:tcPr>
            <w:tcW w:w="2268" w:type="dxa"/>
          </w:tcPr>
          <w:p w:rsidR="002C4D58" w:rsidP="00D347A2" w:rsidRDefault="002C4D58" w14:paraId="581DA3E0" w14:textId="77777777"/>
        </w:tc>
      </w:tr>
    </w:tbl>
    <w:p w:rsidR="002C4D58" w:rsidP="00D347A2" w:rsidRDefault="002C4D58" w14:paraId="7BD622A0" w14:textId="77777777"/>
    <w:p w:rsidR="00E94395" w:rsidP="00A4610A" w:rsidRDefault="00D347A2" w14:paraId="324D5DE1" w14:textId="1C5C4B62">
      <w:pPr>
        <w:spacing w:line="276" w:lineRule="auto"/>
        <w:jc w:val="both"/>
      </w:pPr>
      <w:r>
        <w:t>Between March 2015 and March 2019, balances fluctuated between £2.3M and £2.9M</w:t>
      </w:r>
      <w:r w:rsidR="00E94395">
        <w:t>, until they dropped to £839k by the end of the 2019/20 financial year.  At this point, it was estimated that schools could fall into an overall deficit position over the next few years.</w:t>
      </w:r>
    </w:p>
    <w:p w:rsidR="00D347A2" w:rsidP="00A4610A" w:rsidRDefault="00015E02" w14:paraId="6BDA4436" w14:textId="379C9B43">
      <w:pPr>
        <w:spacing w:line="276" w:lineRule="auto"/>
        <w:jc w:val="both"/>
      </w:pPr>
      <w:r>
        <w:t>However</w:t>
      </w:r>
      <w:r w:rsidR="004367F2">
        <w:t>,</w:t>
      </w:r>
      <w:r>
        <w:t xml:space="preserve"> a change occurred as the result of the Covid</w:t>
      </w:r>
      <w:r w:rsidR="004367F2">
        <w:t xml:space="preserve"> 19</w:t>
      </w:r>
      <w:r>
        <w:t xml:space="preserve"> pandemic in the 2020/21 financial year resulting in school balances rising by £5.47M in just one year to £6.3M.  The favourable variance against the schools 2020/21 budget resulting in the increase in balances was caused </w:t>
      </w:r>
      <w:r w:rsidR="004367F2">
        <w:t xml:space="preserve">by a combination of increased grant funding from Welsh </w:t>
      </w:r>
      <w:r w:rsidR="00A4610A">
        <w:t>G</w:t>
      </w:r>
      <w:r w:rsidR="004367F2">
        <w:t>overnment, in addition to savings accumulated from the closure of schools including supply cover, teaching materials and exam fees.</w:t>
      </w:r>
    </w:p>
    <w:p w:rsidR="004367F2" w:rsidP="00A4610A" w:rsidRDefault="00F25376" w14:paraId="7ED512D4" w14:textId="6BD4E69B">
      <w:pPr>
        <w:spacing w:line="276" w:lineRule="auto"/>
        <w:jc w:val="both"/>
      </w:pPr>
      <w:r>
        <w:t xml:space="preserve">At the end of the 2021/22 financial year, school reserves had increased by a further £6.46M and are now totalling £12.77M.  </w:t>
      </w:r>
      <w:r w:rsidR="00A4610A">
        <w:t>The</w:t>
      </w:r>
      <w:r w:rsidR="004367F2">
        <w:t xml:space="preserve"> increase in school balances </w:t>
      </w:r>
      <w:r w:rsidR="00A4610A">
        <w:t>generated in</w:t>
      </w:r>
      <w:r w:rsidR="004367F2">
        <w:t xml:space="preserve"> the 2021/22 financial year is </w:t>
      </w:r>
      <w:r w:rsidR="00A4610A">
        <w:t xml:space="preserve">largely </w:t>
      </w:r>
      <w:proofErr w:type="gramStart"/>
      <w:r w:rsidR="00A4610A">
        <w:t>as a result of</w:t>
      </w:r>
      <w:proofErr w:type="gramEnd"/>
      <w:r w:rsidR="004367F2">
        <w:t xml:space="preserve"> increased grant </w:t>
      </w:r>
      <w:r w:rsidR="00A4610A">
        <w:t>funding</w:t>
      </w:r>
      <w:r w:rsidR="004367F2">
        <w:t xml:space="preserve"> </w:t>
      </w:r>
      <w:r w:rsidR="00C269A7">
        <w:t xml:space="preserve">from the Welsh Government </w:t>
      </w:r>
      <w:r w:rsidR="00A4610A">
        <w:t>and</w:t>
      </w:r>
      <w:r w:rsidR="00C269A7">
        <w:t xml:space="preserve"> the Central South Consortium</w:t>
      </w:r>
      <w:r w:rsidR="004367F2">
        <w:t>.</w:t>
      </w:r>
      <w:r w:rsidR="00C269A7">
        <w:t xml:space="preserve">  Some (but not all)</w:t>
      </w:r>
      <w:r w:rsidR="00A4610A">
        <w:t xml:space="preserve"> </w:t>
      </w:r>
      <w:r w:rsidR="00C269A7">
        <w:t>of the grants awarded were to assist with covid recovery. The additional grants received by schools are summarised in the table below</w:t>
      </w:r>
      <w:r w:rsidR="00A4610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150"/>
      </w:tblGrid>
      <w:tr w:rsidR="00C269A7" w:rsidTr="00A4610A" w14:paraId="0B2A0F0E" w14:textId="77777777">
        <w:tc>
          <w:tcPr>
            <w:tcW w:w="4508" w:type="dxa"/>
          </w:tcPr>
          <w:p w:rsidR="00C269A7" w:rsidP="00D347A2" w:rsidRDefault="00C269A7" w14:paraId="70456EFE" w14:textId="71F9171A">
            <w:r>
              <w:t xml:space="preserve">Grant </w:t>
            </w:r>
          </w:p>
        </w:tc>
        <w:tc>
          <w:tcPr>
            <w:tcW w:w="2150" w:type="dxa"/>
          </w:tcPr>
          <w:p w:rsidR="00C269A7" w:rsidP="00D347A2" w:rsidRDefault="00C269A7" w14:paraId="32C0026E" w14:textId="7383CCB2">
            <w:r>
              <w:t>Awarded to schools 2021/22</w:t>
            </w:r>
          </w:p>
        </w:tc>
      </w:tr>
      <w:tr w:rsidR="00C269A7" w:rsidTr="00A4610A" w14:paraId="6B539093" w14:textId="77777777">
        <w:tc>
          <w:tcPr>
            <w:tcW w:w="4508" w:type="dxa"/>
          </w:tcPr>
          <w:p w:rsidR="00C269A7" w:rsidP="00D347A2" w:rsidRDefault="00C269A7" w14:paraId="67903E70" w14:textId="15337415">
            <w:r>
              <w:t xml:space="preserve">School’s </w:t>
            </w:r>
            <w:r w:rsidR="00A4610A">
              <w:t>R</w:t>
            </w:r>
            <w:r>
              <w:t xml:space="preserve">evenue </w:t>
            </w:r>
            <w:r w:rsidR="00A4610A">
              <w:t>M</w:t>
            </w:r>
            <w:r>
              <w:t xml:space="preserve">aintenance </w:t>
            </w:r>
            <w:r w:rsidR="00A4610A">
              <w:t>G</w:t>
            </w:r>
            <w:r>
              <w:t>rant</w:t>
            </w:r>
          </w:p>
        </w:tc>
        <w:tc>
          <w:tcPr>
            <w:tcW w:w="2150" w:type="dxa"/>
          </w:tcPr>
          <w:p w:rsidR="00C269A7" w:rsidP="00A4610A" w:rsidRDefault="00C269A7" w14:paraId="23B82AED" w14:textId="070E855A">
            <w:pPr>
              <w:jc w:val="right"/>
            </w:pPr>
            <w:r>
              <w:t>£2,</w:t>
            </w:r>
            <w:r w:rsidR="00A43E1A">
              <w:t>145,189</w:t>
            </w:r>
          </w:p>
        </w:tc>
      </w:tr>
      <w:tr w:rsidR="00C269A7" w:rsidTr="00A4610A" w14:paraId="327981AB" w14:textId="77777777">
        <w:tc>
          <w:tcPr>
            <w:tcW w:w="4508" w:type="dxa"/>
          </w:tcPr>
          <w:p w:rsidR="00C269A7" w:rsidP="00D347A2" w:rsidRDefault="00C269A7" w14:paraId="7FDE465E" w14:textId="47375213">
            <w:r>
              <w:t>Accelerated Learning Grant (</w:t>
            </w:r>
            <w:r w:rsidR="00A4610A">
              <w:t>R</w:t>
            </w:r>
            <w:r>
              <w:t>ecruit Raise Standards and Recover) (Covid 19)</w:t>
            </w:r>
          </w:p>
        </w:tc>
        <w:tc>
          <w:tcPr>
            <w:tcW w:w="2150" w:type="dxa"/>
          </w:tcPr>
          <w:p w:rsidR="00C269A7" w:rsidP="00A4610A" w:rsidRDefault="00C269A7" w14:paraId="0D3E84CE" w14:textId="6647D83C">
            <w:pPr>
              <w:jc w:val="right"/>
            </w:pPr>
            <w:r>
              <w:t>£2,879,916</w:t>
            </w:r>
          </w:p>
        </w:tc>
      </w:tr>
      <w:tr w:rsidR="00A43E1A" w:rsidTr="00A4610A" w14:paraId="42372901" w14:textId="77777777">
        <w:tc>
          <w:tcPr>
            <w:tcW w:w="4508" w:type="dxa"/>
          </w:tcPr>
          <w:p w:rsidR="00A43E1A" w:rsidP="00D347A2" w:rsidRDefault="00A43E1A" w14:paraId="54D64D06" w14:textId="30547001">
            <w:r>
              <w:t>ALN covid recovery - Special school</w:t>
            </w:r>
          </w:p>
        </w:tc>
        <w:tc>
          <w:tcPr>
            <w:tcW w:w="2150" w:type="dxa"/>
          </w:tcPr>
          <w:p w:rsidR="00A43E1A" w:rsidP="00A4610A" w:rsidRDefault="00A43E1A" w14:paraId="3C55CA1A" w14:textId="4E2154C4">
            <w:pPr>
              <w:jc w:val="right"/>
            </w:pPr>
            <w:r>
              <w:t>£85,536</w:t>
            </w:r>
          </w:p>
        </w:tc>
      </w:tr>
      <w:tr w:rsidR="00A43E1A" w:rsidTr="00A4610A" w14:paraId="20ED2ECB" w14:textId="77777777">
        <w:tc>
          <w:tcPr>
            <w:tcW w:w="4508" w:type="dxa"/>
          </w:tcPr>
          <w:p w:rsidR="00A43E1A" w:rsidP="00D347A2" w:rsidRDefault="00A43E1A" w14:paraId="5C8F2FAB" w14:textId="420E14A2">
            <w:r>
              <w:t xml:space="preserve">Post 16 </w:t>
            </w:r>
            <w:r w:rsidR="00A4610A">
              <w:t>L</w:t>
            </w:r>
            <w:r>
              <w:t xml:space="preserve">earner Recovery, </w:t>
            </w:r>
            <w:r w:rsidR="000751F0">
              <w:t>T</w:t>
            </w:r>
            <w:r>
              <w:t xml:space="preserve">ransition and </w:t>
            </w:r>
            <w:r w:rsidR="000751F0">
              <w:t>C</w:t>
            </w:r>
            <w:r>
              <w:t xml:space="preserve">entre </w:t>
            </w:r>
            <w:r w:rsidR="000751F0">
              <w:t>D</w:t>
            </w:r>
            <w:r>
              <w:t xml:space="preserve">etermined </w:t>
            </w:r>
            <w:r w:rsidR="000751F0">
              <w:t>G</w:t>
            </w:r>
            <w:r>
              <w:t xml:space="preserve">rades </w:t>
            </w:r>
            <w:r w:rsidR="000751F0">
              <w:t>S</w:t>
            </w:r>
            <w:r>
              <w:t>upport</w:t>
            </w:r>
          </w:p>
        </w:tc>
        <w:tc>
          <w:tcPr>
            <w:tcW w:w="2150" w:type="dxa"/>
          </w:tcPr>
          <w:p w:rsidR="00A43E1A" w:rsidP="00A4610A" w:rsidRDefault="00A43E1A" w14:paraId="7C248AC9" w14:textId="0DC07BCA">
            <w:pPr>
              <w:jc w:val="right"/>
            </w:pPr>
            <w:r>
              <w:t>£1,075,772</w:t>
            </w:r>
          </w:p>
        </w:tc>
      </w:tr>
      <w:tr w:rsidR="00C269A7" w:rsidTr="00A4610A" w14:paraId="6AEFEEAA" w14:textId="77777777">
        <w:tc>
          <w:tcPr>
            <w:tcW w:w="4508" w:type="dxa"/>
          </w:tcPr>
          <w:p w:rsidR="00C269A7" w:rsidP="00D347A2" w:rsidRDefault="00C269A7" w14:paraId="7A7044C0" w14:textId="26024553">
            <w:r>
              <w:t xml:space="preserve">ALN New </w:t>
            </w:r>
            <w:r w:rsidR="000751F0">
              <w:t>S</w:t>
            </w:r>
            <w:r>
              <w:t>ystem funding</w:t>
            </w:r>
          </w:p>
        </w:tc>
        <w:tc>
          <w:tcPr>
            <w:tcW w:w="2150" w:type="dxa"/>
          </w:tcPr>
          <w:p w:rsidR="00C269A7" w:rsidP="00A4610A" w:rsidRDefault="00C269A7" w14:paraId="400A6C77" w14:textId="24544D7C">
            <w:pPr>
              <w:jc w:val="right"/>
            </w:pPr>
            <w:r>
              <w:t>£287,807</w:t>
            </w:r>
          </w:p>
        </w:tc>
      </w:tr>
      <w:tr w:rsidR="00C269A7" w:rsidTr="00A4610A" w14:paraId="12ADAC6E" w14:textId="77777777">
        <w:tc>
          <w:tcPr>
            <w:tcW w:w="4508" w:type="dxa"/>
          </w:tcPr>
          <w:p w:rsidR="00C269A7" w:rsidP="00D347A2" w:rsidRDefault="00A43E1A" w14:paraId="11A3DD02" w14:textId="48F3221A">
            <w:r>
              <w:t>Winter of Wellbeing</w:t>
            </w:r>
          </w:p>
        </w:tc>
        <w:tc>
          <w:tcPr>
            <w:tcW w:w="2150" w:type="dxa"/>
          </w:tcPr>
          <w:p w:rsidR="00C269A7" w:rsidP="00A4610A" w:rsidRDefault="00A43E1A" w14:paraId="566242E8" w14:textId="3CBDCE40">
            <w:pPr>
              <w:jc w:val="right"/>
            </w:pPr>
            <w:r>
              <w:t>£260,898</w:t>
            </w:r>
          </w:p>
        </w:tc>
      </w:tr>
      <w:tr w:rsidR="00C269A7" w:rsidTr="00A4610A" w14:paraId="25BF5328" w14:textId="77777777">
        <w:tc>
          <w:tcPr>
            <w:tcW w:w="4508" w:type="dxa"/>
          </w:tcPr>
          <w:p w:rsidRPr="00A4610A" w:rsidR="00C269A7" w:rsidP="00D347A2" w:rsidRDefault="00A43E1A" w14:paraId="2BBCABE3" w14:textId="30E6AC35">
            <w:pPr>
              <w:rPr>
                <w:b/>
                <w:bCs/>
              </w:rPr>
            </w:pPr>
            <w:r w:rsidRPr="00A4610A">
              <w:rPr>
                <w:b/>
                <w:bCs/>
              </w:rPr>
              <w:t>TOTAL</w:t>
            </w:r>
          </w:p>
        </w:tc>
        <w:tc>
          <w:tcPr>
            <w:tcW w:w="2150" w:type="dxa"/>
          </w:tcPr>
          <w:p w:rsidRPr="00A4610A" w:rsidR="00C269A7" w:rsidP="00A4610A" w:rsidRDefault="00A43E1A" w14:paraId="001AF896" w14:textId="6C2E21C4">
            <w:pPr>
              <w:jc w:val="right"/>
              <w:rPr>
                <w:b/>
                <w:bCs/>
              </w:rPr>
            </w:pPr>
            <w:r w:rsidRPr="00A4610A">
              <w:rPr>
                <w:b/>
                <w:bCs/>
              </w:rPr>
              <w:t>£6,735,118</w:t>
            </w:r>
          </w:p>
        </w:tc>
      </w:tr>
      <w:tr w:rsidR="00C269A7" w:rsidTr="00A4610A" w14:paraId="139A644E" w14:textId="77777777">
        <w:tc>
          <w:tcPr>
            <w:tcW w:w="4508" w:type="dxa"/>
          </w:tcPr>
          <w:p w:rsidR="00C269A7" w:rsidP="00D347A2" w:rsidRDefault="00C269A7" w14:paraId="37E5F602" w14:textId="77777777"/>
        </w:tc>
        <w:tc>
          <w:tcPr>
            <w:tcW w:w="2150" w:type="dxa"/>
          </w:tcPr>
          <w:p w:rsidR="00C269A7" w:rsidP="00D347A2" w:rsidRDefault="00C269A7" w14:paraId="0C1B6FBD" w14:textId="77777777"/>
        </w:tc>
      </w:tr>
    </w:tbl>
    <w:p w:rsidR="004367F2" w:rsidP="00D347A2" w:rsidRDefault="004367F2" w14:paraId="6E82A7D0" w14:textId="77777777"/>
    <w:p w:rsidR="00F25376" w:rsidP="000751F0" w:rsidRDefault="00F25376" w14:paraId="5DB3D772" w14:textId="4F403D76">
      <w:pPr>
        <w:spacing w:line="276" w:lineRule="auto"/>
        <w:jc w:val="both"/>
      </w:pPr>
      <w:r>
        <w:t>The following information is noted</w:t>
      </w:r>
    </w:p>
    <w:p w:rsidR="00F25376" w:rsidP="000751F0" w:rsidRDefault="00F25376" w14:paraId="4CB7060D" w14:textId="5134D8D7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42 out of 45 (91%) </w:t>
      </w:r>
      <w:r w:rsidR="00A4610A">
        <w:t xml:space="preserve">of </w:t>
      </w:r>
      <w:r>
        <w:t xml:space="preserve">primary and nursery schools have a balance carried forward </w:t>
      </w:r>
      <w:proofErr w:type="gramStart"/>
      <w:r>
        <w:t>in excess of</w:t>
      </w:r>
      <w:proofErr w:type="gramEnd"/>
      <w:r>
        <w:t xml:space="preserve"> £50k</w:t>
      </w:r>
    </w:p>
    <w:p w:rsidR="00F25376" w:rsidP="000751F0" w:rsidRDefault="00F25376" w14:paraId="754D7763" w14:textId="736F9315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All secondary and special schools have a balance carried forward </w:t>
      </w:r>
      <w:proofErr w:type="gramStart"/>
      <w:r>
        <w:t>in excess of</w:t>
      </w:r>
      <w:proofErr w:type="gramEnd"/>
      <w:r>
        <w:t xml:space="preserve"> £100k</w:t>
      </w:r>
    </w:p>
    <w:p w:rsidR="00F25376" w:rsidP="000751F0" w:rsidRDefault="00F25376" w14:paraId="4C7A9DF3" w14:textId="3E2094E0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No schools </w:t>
      </w:r>
      <w:r w:rsidR="00A4610A">
        <w:t>out turned</w:t>
      </w:r>
      <w:r>
        <w:t xml:space="preserve"> the 21/22 financial year in a deficit position</w:t>
      </w:r>
    </w:p>
    <w:p w:rsidR="00F25376" w:rsidP="000751F0" w:rsidRDefault="00D0090A" w14:paraId="4905E3B3" w14:textId="3CF3F1BD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52 schools (95%) have a balanced carried forward </w:t>
      </w:r>
      <w:proofErr w:type="gramStart"/>
      <w:r>
        <w:t>in excess of</w:t>
      </w:r>
      <w:proofErr w:type="gramEnd"/>
      <w:r>
        <w:t xml:space="preserve"> 5%</w:t>
      </w:r>
    </w:p>
    <w:p w:rsidR="00D0090A" w:rsidP="000751F0" w:rsidRDefault="00D0090A" w14:paraId="70F372E9" w14:textId="785FA088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41 schools (75%) have a balance carried forward </w:t>
      </w:r>
      <w:proofErr w:type="gramStart"/>
      <w:r>
        <w:t>in excess of</w:t>
      </w:r>
      <w:proofErr w:type="gramEnd"/>
      <w:r>
        <w:t xml:space="preserve"> 10%</w:t>
      </w:r>
    </w:p>
    <w:p w:rsidR="00A4610A" w:rsidP="000751F0" w:rsidRDefault="00A4610A" w14:paraId="079E880E" w14:textId="43E5D1D2">
      <w:pPr>
        <w:spacing w:line="276" w:lineRule="auto"/>
        <w:jc w:val="both"/>
      </w:pPr>
      <w:r>
        <w:t>Total School balances are shown at appendix A.</w:t>
      </w:r>
    </w:p>
    <w:p w:rsidRPr="00D0090A" w:rsidR="00F25376" w:rsidP="000751F0" w:rsidRDefault="00F25376" w14:paraId="11BCF948" w14:textId="096DB812">
      <w:pPr>
        <w:spacing w:line="276" w:lineRule="auto"/>
        <w:jc w:val="both"/>
        <w:rPr>
          <w:b/>
          <w:bCs/>
          <w:u w:val="single"/>
        </w:rPr>
      </w:pPr>
      <w:r w:rsidRPr="00D0090A">
        <w:rPr>
          <w:b/>
          <w:bCs/>
          <w:u w:val="single"/>
        </w:rPr>
        <w:t>Monitoring of school balances</w:t>
      </w:r>
      <w:r w:rsidR="00D0090A">
        <w:rPr>
          <w:b/>
          <w:bCs/>
          <w:u w:val="single"/>
        </w:rPr>
        <w:t xml:space="preserve"> – next steps</w:t>
      </w:r>
    </w:p>
    <w:p w:rsidR="00D0090A" w:rsidP="000751F0" w:rsidRDefault="00D0090A" w14:paraId="57E7429F" w14:textId="14AFFCE8">
      <w:pPr>
        <w:spacing w:line="276" w:lineRule="auto"/>
        <w:jc w:val="both"/>
      </w:pPr>
      <w:r>
        <w:t xml:space="preserve">Schools </w:t>
      </w:r>
      <w:r w:rsidR="00A4610A">
        <w:t xml:space="preserve">will </w:t>
      </w:r>
      <w:r>
        <w:t xml:space="preserve">receive an email from the finance section requesting the completion of the “Planned </w:t>
      </w:r>
      <w:r w:rsidR="00A4610A">
        <w:t>u</w:t>
      </w:r>
      <w:r>
        <w:t xml:space="preserve">se of balances returns” identifying precisely how balances carried forward will be spent over the 2022/23 and following financial years.  This form must be submitted </w:t>
      </w:r>
      <w:r w:rsidR="00A4610A">
        <w:t xml:space="preserve">to the finance section </w:t>
      </w:r>
      <w:r>
        <w:t>by 30</w:t>
      </w:r>
      <w:r w:rsidRPr="00D0090A">
        <w:rPr>
          <w:vertAlign w:val="superscript"/>
        </w:rPr>
        <w:t>Th</w:t>
      </w:r>
      <w:r>
        <w:t xml:space="preserve"> June 2022.</w:t>
      </w:r>
    </w:p>
    <w:p w:rsidR="00A4610A" w:rsidP="000751F0" w:rsidRDefault="00A4610A" w14:paraId="3E861836" w14:textId="2C2288C6">
      <w:pPr>
        <w:spacing w:line="276" w:lineRule="auto"/>
        <w:jc w:val="both"/>
      </w:pPr>
      <w:r>
        <w:t>A copy of the template is attached at Appendix B.</w:t>
      </w:r>
    </w:p>
    <w:p w:rsidR="00A4610A" w:rsidP="000751F0" w:rsidRDefault="00A4610A" w14:paraId="7EDC1FD6" w14:textId="67245862">
      <w:pPr>
        <w:spacing w:line="276" w:lineRule="auto"/>
        <w:jc w:val="both"/>
      </w:pPr>
    </w:p>
    <w:p w:rsidR="00D0090A" w:rsidP="00D347A2" w:rsidRDefault="00D0090A" w14:paraId="629A7B7C" w14:textId="77777777"/>
    <w:p w:rsidR="00D0090A" w:rsidP="00D347A2" w:rsidRDefault="00D0090A" w14:paraId="5DC1D93C" w14:textId="77777777"/>
    <w:p w:rsidR="00F25376" w:rsidP="00D347A2" w:rsidRDefault="00F25376" w14:paraId="20E33269" w14:textId="77777777"/>
    <w:p w:rsidR="00D347A2" w:rsidP="00D347A2" w:rsidRDefault="00D347A2" w14:paraId="6C2999E8" w14:textId="2CCF9C2C"/>
    <w:sectPr w:rsidR="00D34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24B"/>
    <w:multiLevelType w:val="hybridMultilevel"/>
    <w:tmpl w:val="B5F8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4412"/>
    <w:multiLevelType w:val="hybridMultilevel"/>
    <w:tmpl w:val="5952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7B8F"/>
    <w:multiLevelType w:val="hybridMultilevel"/>
    <w:tmpl w:val="C81C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7533">
    <w:abstractNumId w:val="0"/>
  </w:num>
  <w:num w:numId="2" w16cid:durableId="309595619">
    <w:abstractNumId w:val="2"/>
  </w:num>
  <w:num w:numId="3" w16cid:durableId="4110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0D"/>
    <w:rsid w:val="00015E02"/>
    <w:rsid w:val="000751F0"/>
    <w:rsid w:val="002C4D58"/>
    <w:rsid w:val="004367F2"/>
    <w:rsid w:val="00572A98"/>
    <w:rsid w:val="00610960"/>
    <w:rsid w:val="009B7F0D"/>
    <w:rsid w:val="00A43E1A"/>
    <w:rsid w:val="00A4610A"/>
    <w:rsid w:val="00C269A7"/>
    <w:rsid w:val="00D0090A"/>
    <w:rsid w:val="00D347A2"/>
    <w:rsid w:val="00E94395"/>
    <w:rsid w:val="00F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E667"/>
  <w15:chartTrackingRefBased/>
  <w15:docId w15:val="{015C2560-46A6-4C69-A501-AAC5A7D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A2"/>
    <w:pPr>
      <w:ind w:left="720"/>
      <w:contextualSpacing/>
    </w:pPr>
  </w:style>
  <w:style w:type="table" w:styleId="TableGrid">
    <w:name w:val="Table Grid"/>
    <w:basedOn w:val="TableNormal"/>
    <w:uiPriority w:val="39"/>
    <w:rsid w:val="002C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528</Words>
  <Characters>2676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a. School Balances at 31st March 2022</dc:title>
  <dc:subject>
  </dc:subject>
  <dc:creator>Monckton, Nicola</dc:creator>
  <cp:keywords>
  </cp:keywords>
  <dc:description>
  </dc:description>
  <cp:lastModifiedBy>Harriet Kirby</cp:lastModifiedBy>
  <cp:revision>1</cp:revision>
  <dcterms:created xsi:type="dcterms:W3CDTF">2022-05-24T11:33:00Z</dcterms:created>
  <dcterms:modified>2022-06-20T09:47:07Z</dcterms:modified>
</cp:coreProperties>
</file>